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Arts-Integrated Unit Reflection Form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entury Gothic" w:cs="Century Gothic" w:eastAsia="Century Gothic" w:hAnsi="Century Gothic"/>
          <w:i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Adapted from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Co-Planning for Student Success,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William &amp; Mary School of Education, 2015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75"/>
        <w:gridCol w:w="5175"/>
        <w:tblGridChange w:id="0">
          <w:tblGrid>
            <w:gridCol w:w="5175"/>
            <w:gridCol w:w="5175"/>
          </w:tblGrid>
        </w:tblGridChange>
      </w:tblGrid>
      <w:tr>
        <w:tc>
          <w:tcPr>
            <w:shd w:fill="8fbe5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8"/>
                <w:szCs w:val="28"/>
                <w:shd w:fill="8fbe57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Subject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3bc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Subject #2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Teacher: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Discipline: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Teacher: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Discipline: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350"/>
        <w:tblGridChange w:id="0">
          <w:tblGrid>
            <w:gridCol w:w="2985"/>
            <w:gridCol w:w="7350"/>
          </w:tblGrid>
        </w:tblGridChange>
      </w:tblGrid>
      <w:tr>
        <w:trPr>
          <w:trHeight w:val="480" w:hRule="atLeast"/>
        </w:trPr>
        <w:tc>
          <w:tcPr>
            <w:gridSpan w:val="2"/>
            <w:shd w:fill="e4457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Reflection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How did the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unit itself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go?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270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were the student outcomes?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270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successes can we celebrate?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270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could have gone better?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How did our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collaborative process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go? 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line="240" w:lineRule="auto"/>
              <w:ind w:left="360" w:hanging="270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went well? 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line="240" w:lineRule="auto"/>
              <w:ind w:left="360" w:hanging="270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could have gone better?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changes could we make to improve the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unit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Revisit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roles and responsibilities: Who will make these changes, and when?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changes could we make to improve our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collaborative process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Revisit roles and responsibilities: Who will make these changes, and when?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>
          <w:rFonts w:ascii="Century Gothic" w:cs="Century Gothic" w:eastAsia="Century Gothic" w:hAnsi="Century Gothic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/>
      <w:pgMar w:bottom="720" w:top="720" w:left="1152" w:right="115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ind w:left="2520" w:firstLine="0"/>
      <w:jc w:val="center"/>
      <w:rPr>
        <w:rFonts w:ascii="Century Gothic" w:cs="Century Gothic" w:eastAsia="Century Gothic" w:hAnsi="Century Gothic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-247649</wp:posOffset>
          </wp:positionH>
          <wp:positionV relativeFrom="paragraph">
            <wp:posOffset>-109537</wp:posOffset>
          </wp:positionV>
          <wp:extent cx="844867" cy="447283"/>
          <wp:effectExtent b="0" l="0" r="0" t="0"/>
          <wp:wrapSquare wrapText="bothSides" distB="114300" distT="114300" distL="114300" distR="11430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4867" cy="44728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3724275</wp:posOffset>
          </wp:positionH>
          <wp:positionV relativeFrom="paragraph">
            <wp:posOffset>-28574</wp:posOffset>
          </wp:positionV>
          <wp:extent cx="2692718" cy="288796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92718" cy="28879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rPr>
        <w:rFonts w:ascii="Century Gothic" w:cs="Century Gothic" w:eastAsia="Century Gothic" w:hAnsi="Century Gothic"/>
        <w:sz w:val="18"/>
        <w:szCs w:val="18"/>
      </w:rPr>
    </w:pPr>
    <w:r w:rsidDel="00000000" w:rsidR="00000000" w:rsidRPr="00000000">
      <w:rPr>
        <w:rFonts w:ascii="Century Gothic" w:cs="Century Gothic" w:eastAsia="Century Gothic" w:hAnsi="Century Gothic"/>
        <w:sz w:val="18"/>
        <w:szCs w:val="18"/>
        <w:rtl w:val="0"/>
      </w:rPr>
      <w:t xml:space="preserve">Planner adapted from </w:t>
    </w:r>
    <w:r w:rsidDel="00000000" w:rsidR="00000000" w:rsidRPr="00000000">
      <w:rPr>
        <w:rFonts w:ascii="Century Gothic" w:cs="Century Gothic" w:eastAsia="Century Gothic" w:hAnsi="Century Gothic"/>
        <w:i w:val="1"/>
        <w:sz w:val="18"/>
        <w:szCs w:val="18"/>
        <w:rtl w:val="0"/>
      </w:rPr>
      <w:t xml:space="preserve">Co-Planning for Student Success</w:t>
    </w:r>
    <w:r w:rsidDel="00000000" w:rsidR="00000000" w:rsidRPr="00000000">
      <w:rPr>
        <w:rFonts w:ascii="Century Gothic" w:cs="Century Gothic" w:eastAsia="Century Gothic" w:hAnsi="Century Gothic"/>
        <w:sz w:val="18"/>
        <w:szCs w:val="18"/>
        <w:rtl w:val="0"/>
      </w:rPr>
      <w:t xml:space="preserve">, developed at the William &amp; Mary School of Education Training &amp; Technical Assistance Center.</w:t>
    </w:r>
  </w:p>
  <w:p w:rsidR="00000000" w:rsidDel="00000000" w:rsidP="00000000" w:rsidRDefault="00000000" w:rsidRPr="00000000" w14:paraId="00000072">
    <w:pPr>
      <w:jc w:val="right"/>
      <w:rPr>
        <w:rFonts w:ascii="Century Gothic" w:cs="Century Gothic" w:eastAsia="Century Gothic" w:hAnsi="Century Gothic"/>
        <w:sz w:val="18"/>
        <w:szCs w:val="18"/>
      </w:rPr>
    </w:pPr>
    <w:r w:rsidDel="00000000" w:rsidR="00000000" w:rsidRPr="00000000">
      <w:rPr>
        <w:rFonts w:ascii="Century Gothic" w:cs="Century Gothic" w:eastAsia="Century Gothic" w:hAnsi="Century Gothic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ind w:left="-720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-438149</wp:posOffset>
          </wp:positionH>
          <wp:positionV relativeFrom="paragraph">
            <wp:posOffset>228600</wp:posOffset>
          </wp:positionV>
          <wp:extent cx="3267075" cy="323850"/>
          <wp:effectExtent b="0" l="0" r="0" t="0"/>
          <wp:wrapTopAndBottom distB="114300" distT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67075" cy="3238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